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B7E6" w14:textId="2301906D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bookmarkStart w:id="0" w:name="_Hlk176360549"/>
      <w:r w:rsidRPr="00536421">
        <w:rPr>
          <w:rFonts w:ascii="Arial Narrow" w:hAnsi="Arial Narrow" w:cs="Arial"/>
          <w:kern w:val="0"/>
          <w:sz w:val="20"/>
          <w:szCs w:val="20"/>
        </w:rPr>
        <w:t xml:space="preserve">Cartagena de Indias, </w:t>
      </w:r>
      <w:r w:rsidR="00B04F27">
        <w:rPr>
          <w:rFonts w:ascii="Arial Narrow" w:hAnsi="Arial Narrow" w:cs="Arial"/>
          <w:kern w:val="0"/>
          <w:sz w:val="20"/>
          <w:szCs w:val="20"/>
        </w:rPr>
        <w:t>_________</w:t>
      </w:r>
      <w:r w:rsidRPr="00536421">
        <w:rPr>
          <w:rFonts w:ascii="Arial Narrow" w:hAnsi="Arial Narrow" w:cs="Arial"/>
          <w:kern w:val="0"/>
          <w:sz w:val="20"/>
          <w:szCs w:val="20"/>
        </w:rPr>
        <w:t xml:space="preserve"> de 202</w:t>
      </w:r>
      <w:r w:rsidR="00817D63">
        <w:rPr>
          <w:rFonts w:ascii="Arial Narrow" w:hAnsi="Arial Narrow" w:cs="Arial"/>
          <w:kern w:val="0"/>
          <w:sz w:val="20"/>
          <w:szCs w:val="20"/>
        </w:rPr>
        <w:t>6</w:t>
      </w:r>
    </w:p>
    <w:p w14:paraId="0BB7A55C" w14:textId="77777777" w:rsid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1F4F73BF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/>
          <w:kern w:val="0"/>
          <w:sz w:val="20"/>
          <w:szCs w:val="20"/>
        </w:rPr>
        <w:t>Señores</w:t>
      </w:r>
    </w:p>
    <w:p w14:paraId="46181824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b/>
          <w:kern w:val="0"/>
          <w:sz w:val="20"/>
          <w:szCs w:val="20"/>
        </w:rPr>
        <w:t>Instituto de Patrimonio y Cultura de Cartagena de Indias</w:t>
      </w:r>
    </w:p>
    <w:p w14:paraId="2562E7EF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>Cartagena</w:t>
      </w:r>
    </w:p>
    <w:p w14:paraId="5E6880E8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69806BF9" w14:textId="56024892" w:rsidR="00F15377" w:rsidRDefault="00536421" w:rsidP="00536421">
      <w:pPr>
        <w:spacing w:line="240" w:lineRule="auto"/>
        <w:jc w:val="both"/>
        <w:rPr>
          <w:rFonts w:ascii="Arial Narrow" w:hAnsi="Arial Narrow" w:cs="Arial"/>
          <w:b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b/>
          <w:kern w:val="0"/>
          <w:sz w:val="20"/>
          <w:szCs w:val="20"/>
        </w:rPr>
        <w:t xml:space="preserve">Asunto: </w:t>
      </w:r>
      <w:r w:rsidRPr="00AC5BFF">
        <w:rPr>
          <w:rFonts w:ascii="Arial Narrow" w:hAnsi="Arial Narrow" w:cs="Arial" w:hint="eastAsia"/>
          <w:b/>
          <w:kern w:val="0"/>
          <w:sz w:val="20"/>
          <w:szCs w:val="20"/>
        </w:rPr>
        <w:t>Aceptación otorgamiento del estímulo</w:t>
      </w:r>
      <w:r w:rsidRPr="00AC5BFF">
        <w:rPr>
          <w:rFonts w:ascii="Arial Narrow" w:hAnsi="Arial Narrow" w:cs="Arial"/>
          <w:b/>
          <w:kern w:val="0"/>
          <w:sz w:val="20"/>
          <w:szCs w:val="20"/>
        </w:rPr>
        <w:t xml:space="preserve"> </w:t>
      </w:r>
      <w:r w:rsidR="00DE607A" w:rsidRPr="00DE607A">
        <w:rPr>
          <w:rFonts w:ascii="Arial Narrow" w:hAnsi="Arial Narrow" w:cs="Arial"/>
          <w:b/>
          <w:kern w:val="0"/>
          <w:sz w:val="20"/>
          <w:szCs w:val="20"/>
        </w:rPr>
        <w:t>CONVOCATORIA PARA LOS EVENTOS DE INTERÉS GENERAL INSTITUCIONALIZADOS EN EL CIRCUITO CULTURAL DE CARTAGENA DE INDIAS, MEDIANTE EL ACUERDO NO. 009 DE 2018 DEL CONSEJO DISTRITAL DE CARTAGENA DE INDIAS</w:t>
      </w:r>
      <w:r w:rsidR="00DE607A">
        <w:rPr>
          <w:rFonts w:ascii="Arial Narrow" w:hAnsi="Arial Narrow" w:cs="Arial"/>
          <w:b/>
          <w:kern w:val="0"/>
          <w:sz w:val="20"/>
          <w:szCs w:val="20"/>
        </w:rPr>
        <w:t>.</w:t>
      </w:r>
    </w:p>
    <w:p w14:paraId="114E75E4" w14:textId="77777777" w:rsidR="00DE607A" w:rsidRDefault="00DE607A" w:rsidP="00536421">
      <w:pPr>
        <w:spacing w:line="240" w:lineRule="auto"/>
        <w:jc w:val="both"/>
        <w:rPr>
          <w:rFonts w:ascii="Arial Narrow" w:hAnsi="Arial Narrow" w:cs="Arial"/>
          <w:b/>
          <w:kern w:val="0"/>
          <w:sz w:val="20"/>
          <w:szCs w:val="20"/>
        </w:rPr>
      </w:pPr>
    </w:p>
    <w:p w14:paraId="474BDB37" w14:textId="4C27E389" w:rsidR="005F4569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 xml:space="preserve">Por medio de la presente comunicación, dejo constancia que </w:t>
      </w:r>
      <w:r w:rsidRPr="00536421">
        <w:rPr>
          <w:rFonts w:ascii="Arial Narrow" w:hAnsi="Arial Narrow" w:cs="Arial" w:hint="eastAsia"/>
          <w:b/>
          <w:bCs/>
          <w:kern w:val="0"/>
          <w:sz w:val="20"/>
          <w:szCs w:val="20"/>
          <w:u w:val="single"/>
        </w:rPr>
        <w:t>acepto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 xml:space="preserve"> el estímulo resultante del proceso de evaluación de la </w:t>
      </w:r>
      <w:r w:rsidR="008503CA" w:rsidRPr="008503CA">
        <w:rPr>
          <w:rFonts w:ascii="Arial Narrow" w:hAnsi="Arial Narrow" w:cs="Arial"/>
          <w:b/>
          <w:kern w:val="0"/>
          <w:sz w:val="20"/>
          <w:szCs w:val="20"/>
        </w:rPr>
        <w:t>CONVOCATORIA PARA LOS EVENTOS DE INTERÉS GENERAL INSTITUCIONALIZADOS EN EL CIRCUITO CULTURAL DE CARTAGENA DE INDIAS, MEDIANTE EL ACUERDO NO. 009 DE 2018 DEL CONSEJO DISTRITAL DE CARTAGENA DE INDIAS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 xml:space="preserve">, y en consecuencia manifiesto que </w:t>
      </w:r>
      <w:r w:rsidRPr="00536421">
        <w:rPr>
          <w:rFonts w:ascii="Arial Narrow" w:hAnsi="Arial Narrow" w:cs="Arial" w:hint="eastAsia"/>
          <w:b/>
          <w:bCs/>
          <w:kern w:val="0"/>
          <w:sz w:val="20"/>
          <w:szCs w:val="20"/>
          <w:u w:val="single"/>
        </w:rPr>
        <w:t xml:space="preserve">conozco </w:t>
      </w:r>
      <w:r w:rsidRPr="00536421">
        <w:rPr>
          <w:rFonts w:ascii="Arial Narrow" w:hAnsi="Arial Narrow" w:cs="Arial"/>
          <w:b/>
          <w:bCs/>
          <w:kern w:val="0"/>
          <w:sz w:val="20"/>
          <w:szCs w:val="20"/>
          <w:u w:val="single"/>
        </w:rPr>
        <w:t xml:space="preserve">y acepto 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>las condiciones generales de participación</w:t>
      </w:r>
      <w:r w:rsidRPr="00536421">
        <w:rPr>
          <w:rFonts w:ascii="Arial Narrow" w:hAnsi="Arial Narrow" w:cs="Arial"/>
          <w:kern w:val="0"/>
          <w:sz w:val="20"/>
          <w:szCs w:val="20"/>
        </w:rPr>
        <w:t xml:space="preserve">, por lo cual manifiesto que me acojo a la </w:t>
      </w:r>
      <w:r w:rsidR="005F4569">
        <w:rPr>
          <w:rFonts w:ascii="Arial Narrow" w:hAnsi="Arial Narrow" w:cs="Arial"/>
          <w:kern w:val="0"/>
          <w:sz w:val="20"/>
          <w:szCs w:val="20"/>
        </w:rPr>
        <w:t>siguiente opción:</w:t>
      </w:r>
    </w:p>
    <w:p w14:paraId="761879F4" w14:textId="77777777" w:rsidR="005F4569" w:rsidRDefault="005F4569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21FF482A" w14:textId="77777777" w:rsidR="0055796A" w:rsidRDefault="00C35637" w:rsidP="00C35637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01E6D">
        <w:rPr>
          <w:rFonts w:ascii="Segoe UI Symbol" w:hAnsi="Segoe UI Symbol" w:cs="Segoe UI Symbol"/>
          <w:bCs/>
          <w:sz w:val="20"/>
          <w:szCs w:val="20"/>
        </w:rPr>
        <w:t>☐</w:t>
      </w:r>
      <w:r>
        <w:rPr>
          <w:rFonts w:ascii="Segoe UI Symbol" w:hAnsi="Segoe UI Symbol" w:cs="Segoe UI Symbol"/>
          <w:bCs/>
          <w:sz w:val="20"/>
          <w:szCs w:val="20"/>
        </w:rPr>
        <w:t xml:space="preserve"> </w:t>
      </w:r>
      <w:r w:rsidRPr="00C35637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OPCIÓN</w:t>
      </w:r>
      <w:r w:rsidR="00536421" w:rsidRPr="00EE258D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1</w:t>
      </w:r>
    </w:p>
    <w:p w14:paraId="50948B96" w14:textId="5F41673F" w:rsidR="00741D0D" w:rsidRDefault="00651BD0" w:rsidP="00741D0D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</w:pPr>
      <w:r w:rsidRPr="00741D0D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Un primer desembolso equivalente al </w:t>
      </w:r>
      <w:r w:rsidR="00A15CB0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ochenta</w:t>
      </w:r>
      <w:r w:rsidRPr="00741D0D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por ciento (</w:t>
      </w:r>
      <w:r w:rsidR="00A15CB0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8</w:t>
      </w:r>
      <w:r w:rsidRPr="00741D0D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0%) del valor total del estímulo, </w:t>
      </w:r>
      <w:r w:rsidR="00741D0D" w:rsidRPr="00741D0D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haciendo la solicitud a través del correo</w:t>
      </w:r>
      <w:r w:rsidR="00741D0D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</w:t>
      </w:r>
      <w:hyperlink r:id="rId8" w:history="1">
        <w:r w:rsidR="00741D0D" w:rsidRPr="00CD0366">
          <w:rPr>
            <w:rStyle w:val="Hipervnculo"/>
            <w:rFonts w:ascii="Arial Narrow" w:hAnsi="Arial Narrow" w:cs="Arial"/>
            <w:b/>
            <w:bCs/>
            <w:i/>
            <w:iCs/>
            <w:kern w:val="0"/>
            <w:sz w:val="20"/>
            <w:szCs w:val="20"/>
          </w:rPr>
          <w:t>convocatorias@ipcc.gov.co</w:t>
        </w:r>
      </w:hyperlink>
    </w:p>
    <w:p w14:paraId="510DF7C0" w14:textId="026B9530" w:rsidR="00651BD0" w:rsidRPr="007376BF" w:rsidRDefault="00651BD0" w:rsidP="00651BD0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7376BF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Un segundo y último desembolso equivalente al </w:t>
      </w:r>
      <w:r w:rsidR="00A15CB0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veinte</w:t>
      </w:r>
      <w:r w:rsidRPr="007376BF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por ciento (</w:t>
      </w:r>
      <w:r w:rsidR="00A15CB0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2</w:t>
      </w:r>
      <w:r w:rsidRPr="007376BF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0%) del valor total del estímulo</w:t>
      </w:r>
      <w:r w:rsidR="007376BF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económico</w:t>
      </w:r>
    </w:p>
    <w:p w14:paraId="16246FAF" w14:textId="77777777" w:rsidR="007376BF" w:rsidRPr="007376BF" w:rsidRDefault="007376BF" w:rsidP="007376BF">
      <w:pPr>
        <w:pStyle w:val="Prrafodelista"/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</w:p>
    <w:p w14:paraId="329B7EFB" w14:textId="77777777" w:rsidR="005C1F58" w:rsidRDefault="00EE258D" w:rsidP="00F855F3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01E6D">
        <w:rPr>
          <w:rFonts w:ascii="Segoe UI Symbol" w:hAnsi="Segoe UI Symbol" w:cs="Segoe UI Symbol"/>
          <w:bCs/>
          <w:sz w:val="20"/>
          <w:szCs w:val="20"/>
        </w:rPr>
        <w:t>☐</w:t>
      </w:r>
      <w:r>
        <w:rPr>
          <w:rFonts w:ascii="Segoe UI Symbol" w:hAnsi="Segoe UI Symbol" w:cs="Segoe UI Symbol"/>
          <w:bCs/>
          <w:sz w:val="20"/>
          <w:szCs w:val="20"/>
        </w:rPr>
        <w:t xml:space="preserve"> </w:t>
      </w:r>
      <w:r w:rsidRPr="00C35637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OPCIÓN </w:t>
      </w:r>
      <w:r>
        <w:rPr>
          <w:rFonts w:ascii="Arial Narrow" w:hAnsi="Arial Narrow" w:cs="Arial"/>
          <w:b/>
          <w:bCs/>
          <w:kern w:val="0"/>
          <w:sz w:val="20"/>
          <w:szCs w:val="20"/>
        </w:rPr>
        <w:t>2</w:t>
      </w:r>
      <w:r w:rsidR="00F855F3">
        <w:rPr>
          <w:rFonts w:ascii="Arial Narrow" w:hAnsi="Arial Narrow" w:cs="Arial"/>
          <w:b/>
          <w:bCs/>
          <w:kern w:val="0"/>
          <w:sz w:val="20"/>
          <w:szCs w:val="20"/>
        </w:rPr>
        <w:t xml:space="preserve">: </w:t>
      </w:r>
    </w:p>
    <w:p w14:paraId="042D6BCB" w14:textId="54A73B59" w:rsidR="00706332" w:rsidRDefault="006B3BFC" w:rsidP="006B3BFC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</w:pPr>
      <w:r w:rsidRPr="006B3BFC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Corresponde a la solicitud del cien por ciento (100%) del valor del estímulo una vez</w:t>
      </w:r>
      <w:r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</w:t>
      </w:r>
      <w:r w:rsidRPr="006B3BFC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realizado el evento. En este caso no deberá presentar ni Póliza de cumplimiento</w:t>
      </w:r>
      <w:r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</w:t>
      </w:r>
      <w:r w:rsidRPr="006B3BFC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de disposiciones legales ni póliza de buen manejo, pero sí la Póliza de</w:t>
      </w:r>
      <w:r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</w:t>
      </w:r>
      <w:r w:rsidRPr="006B3BFC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Responsabilidad Civil Extracontractual con fecha anterior al inicio de actividades de</w:t>
      </w:r>
      <w:r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</w:t>
      </w:r>
      <w:r w:rsidRPr="006B3BFC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su evento y enviada previamente al correo convocatorias@ipcc.gov.co para su</w:t>
      </w:r>
      <w:r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</w:t>
      </w:r>
      <w:r w:rsidRPr="006B3BFC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aprobación.</w:t>
      </w:r>
    </w:p>
    <w:p w14:paraId="4DCEF2E7" w14:textId="77777777" w:rsidR="006B3BFC" w:rsidRPr="006B3BFC" w:rsidRDefault="006B3BFC" w:rsidP="006B3BFC">
      <w:pPr>
        <w:pStyle w:val="Prrafodelista"/>
        <w:spacing w:line="240" w:lineRule="auto"/>
        <w:jc w:val="both"/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</w:pPr>
    </w:p>
    <w:p w14:paraId="4F6D5F53" w14:textId="32B97374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/>
          <w:kern w:val="0"/>
          <w:sz w:val="20"/>
          <w:szCs w:val="20"/>
        </w:rPr>
        <w:t>D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>eclaro no estar incurs</w:t>
      </w:r>
      <w:r w:rsidR="00341CA9">
        <w:rPr>
          <w:rFonts w:ascii="Arial Narrow" w:hAnsi="Arial Narrow" w:cs="Arial"/>
          <w:kern w:val="0"/>
          <w:sz w:val="20"/>
          <w:szCs w:val="20"/>
        </w:rPr>
        <w:t>o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 xml:space="preserve"> en las inhabilidades, incompatibilidades y prohibiciones de ley, ni las que establecen de manera particular los lineamientos </w:t>
      </w:r>
      <w:r w:rsidR="00506E50">
        <w:rPr>
          <w:rFonts w:ascii="Arial Narrow" w:hAnsi="Arial Narrow" w:cs="Arial"/>
          <w:kern w:val="0"/>
          <w:sz w:val="20"/>
          <w:szCs w:val="20"/>
        </w:rPr>
        <w:t>plasmados en la presente convocatoria.</w:t>
      </w:r>
    </w:p>
    <w:p w14:paraId="31EEC9D8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279FA6E6" w14:textId="17496B80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>Además,</w:t>
      </w:r>
      <w:r w:rsidRPr="00536421">
        <w:rPr>
          <w:rFonts w:ascii="Arial Narrow" w:hAnsi="Arial Narrow" w:cs="Arial"/>
          <w:kern w:val="0"/>
          <w:sz w:val="20"/>
          <w:szCs w:val="20"/>
        </w:rPr>
        <w:t xml:space="preserve"> 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>reitero mi compromiso con:</w:t>
      </w:r>
    </w:p>
    <w:p w14:paraId="32D2840C" w14:textId="7777777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Realizar los trámites necesarios para la legalización y desembolso del estímulo en los plazos fijados por el IPCC.</w:t>
      </w:r>
    </w:p>
    <w:p w14:paraId="51208691" w14:textId="7777777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Destinar el cien por ciento (100%) del recurso recibido a la ejecución de la propuesta aprobada por el jurado, acatando las recomendaciones previas.</w:t>
      </w:r>
    </w:p>
    <w:p w14:paraId="67D74A15" w14:textId="7777777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Autorizar al Instituto de Patrimonio y Cultura de Cartagena, IPCC, el uso del contenido audiovisual que se desarrolle dentro de</w:t>
      </w:r>
      <w:r w:rsidRPr="00536421">
        <w:rPr>
          <w:rFonts w:ascii="Arial Narrow" w:hAnsi="Arial Narrow" w:cs="Arial"/>
          <w:i/>
          <w:iCs/>
          <w:kern w:val="0"/>
          <w:sz w:val="20"/>
          <w:szCs w:val="20"/>
        </w:rPr>
        <w:t>l</w:t>
      </w: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 xml:space="preserve"> proceso y como resultado de la ejecución de la propuesta.</w:t>
      </w:r>
    </w:p>
    <w:p w14:paraId="4941E690" w14:textId="3917AE9F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 xml:space="preserve">Entregar los informes solicitados en los formatos entregados por la entidad y en los plazos y las condiciones establecidas por el supervisor, con los respectivos soportes de actividades (fotografías, videos, planillas de asistencia, certificados, </w:t>
      </w:r>
      <w:r w:rsidR="00972862">
        <w:rPr>
          <w:rFonts w:ascii="Arial Narrow" w:hAnsi="Arial Narrow" w:cs="Arial"/>
          <w:i/>
          <w:iCs/>
          <w:kern w:val="0"/>
          <w:sz w:val="20"/>
          <w:szCs w:val="20"/>
        </w:rPr>
        <w:t xml:space="preserve">soportes financieros, </w:t>
      </w: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entre otros). La no entrega en los plazos establecidos genera incumplimiento por parte de</w:t>
      </w:r>
      <w:r w:rsidR="00506E50">
        <w:rPr>
          <w:rFonts w:ascii="Arial Narrow" w:hAnsi="Arial Narrow" w:cs="Arial"/>
          <w:i/>
          <w:iCs/>
          <w:kern w:val="0"/>
          <w:sz w:val="20"/>
          <w:szCs w:val="20"/>
        </w:rPr>
        <w:t xml:space="preserve"> la </w:t>
      </w: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ganador</w:t>
      </w:r>
      <w:r w:rsidR="00506E50">
        <w:rPr>
          <w:rFonts w:ascii="Arial Narrow" w:hAnsi="Arial Narrow" w:cs="Arial"/>
          <w:i/>
          <w:iCs/>
          <w:kern w:val="0"/>
          <w:sz w:val="20"/>
          <w:szCs w:val="20"/>
        </w:rPr>
        <w:t>a</w:t>
      </w: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.</w:t>
      </w:r>
    </w:p>
    <w:p w14:paraId="0037017A" w14:textId="7777777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Utilizar el material gráfico proporcionado por el IPCC para la impresión de pendones y/o piezas comunicativas con los logos institucionales de la ALCALDÍA DE CARTAGENA y el IPCC, a fin de otorgar crédito al IPCC en las actividades desarrolladas o material publicado en relación con el estímulo recibido.</w:t>
      </w:r>
    </w:p>
    <w:p w14:paraId="59404CA8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12C9B0BD" w14:textId="5B2B99B6" w:rsid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>Informo que he obtenido los permisos y autorizaciones requeridas para la utilización de obras en el marco de la presentación y ejecución de la propuesta ganadora, exonerando al IPCC por cualquier reclamación al respecto, por tratarse de una obligación propia y exclusiva en calidad de participante y ganador de la convocatoria.</w:t>
      </w:r>
    </w:p>
    <w:p w14:paraId="3B1CBB16" w14:textId="77777777" w:rsidR="00AC5BFF" w:rsidRDefault="00AC5BFF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769F69A8" w14:textId="5BC982C8" w:rsidR="00AC5BFF" w:rsidRPr="00706332" w:rsidRDefault="00AC5BFF" w:rsidP="00536421">
      <w:pPr>
        <w:spacing w:line="240" w:lineRule="auto"/>
        <w:jc w:val="both"/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</w:pPr>
      <w:r>
        <w:rPr>
          <w:rFonts w:ascii="Arial Narrow" w:hAnsi="Arial Narrow" w:cs="Arial"/>
          <w:kern w:val="0"/>
          <w:sz w:val="20"/>
          <w:szCs w:val="20"/>
        </w:rPr>
        <w:t xml:space="preserve">La supervisión de esta convocatoria estará en cabeza del </w:t>
      </w:r>
      <w:r w:rsidRPr="009A52E2">
        <w:rPr>
          <w:rFonts w:ascii="Arial Narrow" w:hAnsi="Arial Narrow" w:cs="Arial"/>
          <w:kern w:val="0"/>
          <w:sz w:val="20"/>
          <w:szCs w:val="20"/>
        </w:rPr>
        <w:t xml:space="preserve">profesional </w:t>
      </w:r>
      <w:r w:rsidR="00FA5148">
        <w:rPr>
          <w:rFonts w:ascii="Arial Narrow" w:hAnsi="Arial Narrow" w:cs="Arial"/>
          <w:kern w:val="0"/>
          <w:sz w:val="20"/>
          <w:szCs w:val="20"/>
        </w:rPr>
        <w:t xml:space="preserve">especializado </w:t>
      </w:r>
      <w:r w:rsidRPr="009A52E2">
        <w:rPr>
          <w:rFonts w:ascii="Arial Narrow" w:hAnsi="Arial Narrow" w:cs="Arial"/>
          <w:kern w:val="0"/>
          <w:sz w:val="20"/>
          <w:szCs w:val="20"/>
        </w:rPr>
        <w:t xml:space="preserve">de la División de Promoción Cultural </w:t>
      </w:r>
      <w:r w:rsidR="00FA5148">
        <w:rPr>
          <w:rFonts w:ascii="Arial Narrow" w:hAnsi="Arial Narrow" w:cs="Arial"/>
          <w:kern w:val="0"/>
          <w:sz w:val="20"/>
          <w:szCs w:val="20"/>
        </w:rPr>
        <w:t xml:space="preserve">el </w:t>
      </w:r>
      <w:r w:rsidR="003E50FC">
        <w:rPr>
          <w:rFonts w:ascii="Arial Narrow" w:hAnsi="Arial Narrow" w:cs="Arial"/>
          <w:kern w:val="0"/>
          <w:sz w:val="20"/>
          <w:szCs w:val="20"/>
        </w:rPr>
        <w:t>Dr. Néstor</w:t>
      </w:r>
      <w:r w:rsidR="00FA5148">
        <w:rPr>
          <w:rFonts w:ascii="Arial Narrow" w:hAnsi="Arial Narrow" w:cs="Arial"/>
          <w:kern w:val="0"/>
          <w:sz w:val="20"/>
          <w:szCs w:val="20"/>
        </w:rPr>
        <w:t xml:space="preserve"> </w:t>
      </w:r>
      <w:r w:rsidR="003E50FC">
        <w:rPr>
          <w:rFonts w:ascii="Arial Narrow" w:hAnsi="Arial Narrow" w:cs="Arial"/>
          <w:kern w:val="0"/>
          <w:sz w:val="20"/>
          <w:szCs w:val="20"/>
        </w:rPr>
        <w:t xml:space="preserve">Raúl Vásquez </w:t>
      </w:r>
      <w:r w:rsidR="00FA5148">
        <w:rPr>
          <w:rFonts w:ascii="Arial Narrow" w:hAnsi="Arial Narrow" w:cs="Arial"/>
          <w:kern w:val="0"/>
          <w:sz w:val="20"/>
          <w:szCs w:val="20"/>
        </w:rPr>
        <w:t>Santamaría</w:t>
      </w:r>
      <w:r w:rsidR="003E50FC">
        <w:rPr>
          <w:rFonts w:ascii="Arial Narrow" w:hAnsi="Arial Narrow" w:cs="Arial"/>
          <w:kern w:val="0"/>
          <w:sz w:val="20"/>
          <w:szCs w:val="20"/>
        </w:rPr>
        <w:t>.</w:t>
      </w:r>
    </w:p>
    <w:p w14:paraId="5E8DED25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7AE5A5DA" w14:textId="44D09294" w:rsidR="00506E50" w:rsidRDefault="00506E50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06E50">
        <w:rPr>
          <w:rFonts w:ascii="Arial Narrow" w:hAnsi="Arial Narrow" w:cs="Arial"/>
          <w:b/>
          <w:bCs/>
          <w:kern w:val="0"/>
          <w:sz w:val="20"/>
          <w:szCs w:val="20"/>
        </w:rPr>
        <w:t>Plazo</w:t>
      </w:r>
      <w:r>
        <w:rPr>
          <w:rFonts w:ascii="Arial Narrow" w:hAnsi="Arial Narrow" w:cs="Arial"/>
          <w:b/>
          <w:bCs/>
          <w:kern w:val="0"/>
          <w:sz w:val="20"/>
          <w:szCs w:val="20"/>
        </w:rPr>
        <w:t>s</w:t>
      </w:r>
      <w:r w:rsidRPr="00506E50">
        <w:rPr>
          <w:rFonts w:ascii="Arial Narrow" w:hAnsi="Arial Narrow" w:cs="Arial"/>
          <w:b/>
          <w:bCs/>
          <w:kern w:val="0"/>
          <w:sz w:val="20"/>
          <w:szCs w:val="20"/>
        </w:rPr>
        <w:t xml:space="preserve"> de ejecución de la propuesta: </w:t>
      </w:r>
      <w:r w:rsidR="00AB0409" w:rsidRPr="00AB0409">
        <w:rPr>
          <w:rFonts w:ascii="Arial Narrow" w:hAnsi="Arial Narrow" w:cs="Arial"/>
          <w:kern w:val="0"/>
          <w:sz w:val="20"/>
          <w:szCs w:val="20"/>
        </w:rPr>
        <w:t>d</w:t>
      </w:r>
      <w:r w:rsidRPr="00AB0409">
        <w:rPr>
          <w:rFonts w:ascii="Arial Narrow" w:hAnsi="Arial Narrow" w:cs="Arial"/>
          <w:kern w:val="0"/>
          <w:sz w:val="20"/>
          <w:szCs w:val="20"/>
        </w:rPr>
        <w:t>esde el ______________ hasta el ________________________ de 202</w:t>
      </w:r>
      <w:r w:rsidR="005C1F58">
        <w:rPr>
          <w:rFonts w:ascii="Arial Narrow" w:hAnsi="Arial Narrow" w:cs="Arial"/>
          <w:kern w:val="0"/>
          <w:sz w:val="20"/>
          <w:szCs w:val="20"/>
        </w:rPr>
        <w:t>6</w:t>
      </w:r>
    </w:p>
    <w:p w14:paraId="7864F2F8" w14:textId="77777777" w:rsidR="00B11BBF" w:rsidRDefault="00B11BBF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0C491D43" w14:textId="27708A03" w:rsidR="00232CCE" w:rsidRPr="00232CCE" w:rsidRDefault="00232CCE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232CCE">
        <w:rPr>
          <w:rFonts w:ascii="Arial Narrow" w:hAnsi="Arial Narrow" w:cs="Arial"/>
          <w:b/>
          <w:bCs/>
          <w:kern w:val="0"/>
          <w:sz w:val="20"/>
          <w:szCs w:val="20"/>
        </w:rPr>
        <w:t xml:space="preserve">Valor del estímulo: </w:t>
      </w:r>
      <w:r>
        <w:rPr>
          <w:rFonts w:ascii="Arial Narrow" w:hAnsi="Arial Narrow" w:cs="Arial"/>
          <w:b/>
          <w:bCs/>
          <w:kern w:val="0"/>
          <w:sz w:val="20"/>
          <w:szCs w:val="20"/>
        </w:rPr>
        <w:t>$</w:t>
      </w:r>
      <w:r w:rsidR="00341CA9">
        <w:rPr>
          <w:rFonts w:ascii="Arial Narrow" w:hAnsi="Arial Narrow" w:cs="Arial"/>
          <w:b/>
          <w:bCs/>
          <w:kern w:val="0"/>
          <w:sz w:val="20"/>
          <w:szCs w:val="20"/>
        </w:rPr>
        <w:t>______________________</w:t>
      </w:r>
    </w:p>
    <w:p w14:paraId="64579C45" w14:textId="77777777" w:rsidR="00506E50" w:rsidRPr="00AB0409" w:rsidRDefault="00506E50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05CF7DE9" w14:textId="57188FF5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>Atentamente</w:t>
      </w:r>
      <w:r w:rsidRPr="00536421">
        <w:rPr>
          <w:rFonts w:ascii="Arial Narrow" w:hAnsi="Arial Narrow" w:cs="Arial"/>
          <w:kern w:val="0"/>
          <w:sz w:val="20"/>
          <w:szCs w:val="20"/>
        </w:rPr>
        <w:t>,</w:t>
      </w:r>
    </w:p>
    <w:p w14:paraId="7EC37210" w14:textId="77777777" w:rsidR="00506E50" w:rsidRDefault="00506E50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</w:p>
    <w:p w14:paraId="56F182DE" w14:textId="77777777" w:rsidR="005B6E8B" w:rsidRDefault="005B6E8B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</w:p>
    <w:p w14:paraId="66652AA2" w14:textId="668F370E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>Firma</w:t>
      </w:r>
    </w:p>
    <w:p w14:paraId="67B6DC3E" w14:textId="16031C36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>Nombre de</w:t>
      </w:r>
      <w:r w:rsidR="00506E50">
        <w:rPr>
          <w:rFonts w:ascii="Arial Narrow" w:hAnsi="Arial Narrow" w:cs="Arial"/>
          <w:b/>
          <w:bCs/>
          <w:kern w:val="0"/>
          <w:sz w:val="20"/>
          <w:szCs w:val="20"/>
        </w:rPr>
        <w:t xml:space="preserve"> la</w:t>
      </w: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 xml:space="preserve"> participante: </w:t>
      </w:r>
    </w:p>
    <w:p w14:paraId="6D2C347A" w14:textId="7818EB1B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>Documento de identidad:</w:t>
      </w:r>
      <w:bookmarkEnd w:id="0"/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 xml:space="preserve"> </w:t>
      </w:r>
    </w:p>
    <w:p w14:paraId="1D550B63" w14:textId="6F005F52" w:rsidR="00A70596" w:rsidRPr="00F4620E" w:rsidRDefault="00536421" w:rsidP="00F4620E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 xml:space="preserve">Nombre de la propuesta: </w:t>
      </w:r>
    </w:p>
    <w:sectPr w:rsidR="00A70596" w:rsidRPr="00F4620E" w:rsidSect="00370304">
      <w:headerReference w:type="even" r:id="rId9"/>
      <w:headerReference w:type="default" r:id="rId10"/>
      <w:footerReference w:type="default" r:id="rId11"/>
      <w:headerReference w:type="first" r:id="rId12"/>
      <w:pgSz w:w="12240" w:h="18720" w:code="14"/>
      <w:pgMar w:top="2552" w:right="1080" w:bottom="1843" w:left="1080" w:header="708" w:footer="56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0142A" w14:textId="77777777" w:rsidR="009E5122" w:rsidRDefault="009E5122" w:rsidP="003234FF">
      <w:pPr>
        <w:spacing w:line="240" w:lineRule="auto"/>
      </w:pPr>
      <w:r>
        <w:separator/>
      </w:r>
    </w:p>
  </w:endnote>
  <w:endnote w:type="continuationSeparator" w:id="0">
    <w:p w14:paraId="02B81617" w14:textId="77777777" w:rsidR="009E5122" w:rsidRDefault="009E5122" w:rsidP="003234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F313" w14:textId="77777777" w:rsidR="00C60BA8" w:rsidRDefault="00000000" w:rsidP="00FD67A8">
    <w:pPr>
      <w:pStyle w:val="Piedepgina"/>
      <w:rPr>
        <w:lang w:val="es-ES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1BC00629" wp14:editId="30B92577">
          <wp:simplePos x="0" y="0"/>
          <wp:positionH relativeFrom="margin">
            <wp:posOffset>-372745</wp:posOffset>
          </wp:positionH>
          <wp:positionV relativeFrom="page">
            <wp:posOffset>8656130</wp:posOffset>
          </wp:positionV>
          <wp:extent cx="7149676" cy="2924065"/>
          <wp:effectExtent l="0" t="0" r="0" b="0"/>
          <wp:wrapNone/>
          <wp:docPr id="6907142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46026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351" b="-108"/>
                  <a:stretch/>
                </pic:blipFill>
                <pic:spPr bwMode="auto">
                  <a:xfrm>
                    <a:off x="0" y="0"/>
                    <a:ext cx="7149676" cy="2924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B9EA76" w14:textId="77777777" w:rsidR="00C60BA8" w:rsidRDefault="00000000" w:rsidP="008C15C7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Pr="00D458F2">
      <w:rPr>
        <w:b/>
        <w:bCs/>
        <w:noProof/>
        <w:lang w:val="es-ES"/>
      </w:rPr>
      <w:t>5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Pr="00D458F2">
      <w:rPr>
        <w:b/>
        <w:bCs/>
        <w:noProof/>
        <w:lang w:val="es-ES"/>
      </w:rPr>
      <w:t>8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F86F8" w14:textId="77777777" w:rsidR="009E5122" w:rsidRDefault="009E5122" w:rsidP="003234FF">
      <w:pPr>
        <w:spacing w:line="240" w:lineRule="auto"/>
      </w:pPr>
      <w:r>
        <w:separator/>
      </w:r>
    </w:p>
  </w:footnote>
  <w:footnote w:type="continuationSeparator" w:id="0">
    <w:p w14:paraId="210DAB1A" w14:textId="77777777" w:rsidR="009E5122" w:rsidRDefault="009E5122" w:rsidP="003234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957A" w14:textId="77777777" w:rsidR="00C60BA8" w:rsidRDefault="00000000">
    <w:pPr>
      <w:pStyle w:val="Encabezado"/>
    </w:pPr>
    <w:r>
      <w:rPr>
        <w:noProof/>
      </w:rPr>
      <w:pict w14:anchorId="3C786E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829610" o:spid="_x0000_s1026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2 Marca de Agua IPCC 2024_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A37D" w14:textId="0501CC61" w:rsidR="00370304" w:rsidRDefault="00370304" w:rsidP="000055F1">
    <w:r>
      <w:rPr>
        <w:noProof/>
      </w:rPr>
      <w:drawing>
        <wp:anchor distT="0" distB="0" distL="114300" distR="114300" simplePos="0" relativeHeight="251656192" behindDoc="1" locked="0" layoutInCell="0" allowOverlap="1" wp14:anchorId="1D39058B" wp14:editId="34428E8A">
          <wp:simplePos x="0" y="0"/>
          <wp:positionH relativeFrom="page">
            <wp:posOffset>306070</wp:posOffset>
          </wp:positionH>
          <wp:positionV relativeFrom="margin">
            <wp:posOffset>-1311085</wp:posOffset>
          </wp:positionV>
          <wp:extent cx="7161530" cy="1372235"/>
          <wp:effectExtent l="0" t="0" r="1270" b="0"/>
          <wp:wrapNone/>
          <wp:docPr id="12287246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46026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7" b="87429"/>
                  <a:stretch/>
                </pic:blipFill>
                <pic:spPr bwMode="auto">
                  <a:xfrm>
                    <a:off x="0" y="0"/>
                    <a:ext cx="7161530" cy="1372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D1DBA5" w14:textId="4645F62C" w:rsidR="00C60BA8" w:rsidRDefault="00C60BA8" w:rsidP="000055F1"/>
  <w:p w14:paraId="46CC8833" w14:textId="77777777" w:rsidR="00370304" w:rsidRDefault="00370304" w:rsidP="000055F1"/>
  <w:p w14:paraId="3CE436DD" w14:textId="77777777" w:rsidR="00C60BA8" w:rsidRDefault="00C60BA8" w:rsidP="000055F1"/>
  <w:p w14:paraId="1A1981BF" w14:textId="77777777" w:rsidR="00C60BA8" w:rsidRDefault="00C60BA8" w:rsidP="000055F1"/>
  <w:p w14:paraId="5F933E79" w14:textId="5F895F26" w:rsidR="00C60BA8" w:rsidRPr="002F63DD" w:rsidRDefault="00C60BA8" w:rsidP="000055F1">
    <w:pPr>
      <w:rPr>
        <w:rFonts w:ascii="Arial" w:hAnsi="Arial"/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875C" w14:textId="77777777" w:rsidR="00C60BA8" w:rsidRDefault="00000000">
    <w:pPr>
      <w:pStyle w:val="Encabezado"/>
    </w:pPr>
    <w:r>
      <w:rPr>
        <w:noProof/>
      </w:rPr>
      <w:pict w14:anchorId="732837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829609" o:spid="_x0000_s102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2 Marca de Agua IPCC 2024_0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E4644"/>
    <w:multiLevelType w:val="hybridMultilevel"/>
    <w:tmpl w:val="09EA96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67CDF"/>
    <w:multiLevelType w:val="hybridMultilevel"/>
    <w:tmpl w:val="FB3A9FA8"/>
    <w:lvl w:ilvl="0" w:tplc="C0287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262FA0"/>
    <w:multiLevelType w:val="hybridMultilevel"/>
    <w:tmpl w:val="D83C1D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826FD"/>
    <w:multiLevelType w:val="hybridMultilevel"/>
    <w:tmpl w:val="B5BC8A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3675D"/>
    <w:multiLevelType w:val="hybridMultilevel"/>
    <w:tmpl w:val="40F216D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B0F61"/>
    <w:multiLevelType w:val="hybridMultilevel"/>
    <w:tmpl w:val="F1BC70D6"/>
    <w:lvl w:ilvl="0" w:tplc="3E2CB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A2760"/>
    <w:multiLevelType w:val="hybridMultilevel"/>
    <w:tmpl w:val="54325C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688192">
    <w:abstractNumId w:val="5"/>
  </w:num>
  <w:num w:numId="2" w16cid:durableId="1108429519">
    <w:abstractNumId w:val="6"/>
  </w:num>
  <w:num w:numId="3" w16cid:durableId="143201970">
    <w:abstractNumId w:val="2"/>
  </w:num>
  <w:num w:numId="4" w16cid:durableId="1517844233">
    <w:abstractNumId w:val="1"/>
  </w:num>
  <w:num w:numId="5" w16cid:durableId="87045612">
    <w:abstractNumId w:val="4"/>
  </w:num>
  <w:num w:numId="6" w16cid:durableId="1469862757">
    <w:abstractNumId w:val="0"/>
  </w:num>
  <w:num w:numId="7" w16cid:durableId="572669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21"/>
    <w:rsid w:val="00023259"/>
    <w:rsid w:val="000E755E"/>
    <w:rsid w:val="00180E56"/>
    <w:rsid w:val="00192AB2"/>
    <w:rsid w:val="001A50C6"/>
    <w:rsid w:val="001D4285"/>
    <w:rsid w:val="001F7FF3"/>
    <w:rsid w:val="00232CCE"/>
    <w:rsid w:val="002D1725"/>
    <w:rsid w:val="003234FF"/>
    <w:rsid w:val="00341CA9"/>
    <w:rsid w:val="00354301"/>
    <w:rsid w:val="00370304"/>
    <w:rsid w:val="00383F2F"/>
    <w:rsid w:val="003B3112"/>
    <w:rsid w:val="003E50FC"/>
    <w:rsid w:val="004452E2"/>
    <w:rsid w:val="004D47FD"/>
    <w:rsid w:val="00506E50"/>
    <w:rsid w:val="00533B96"/>
    <w:rsid w:val="00536421"/>
    <w:rsid w:val="0055796A"/>
    <w:rsid w:val="005873FA"/>
    <w:rsid w:val="00591AA3"/>
    <w:rsid w:val="005B6E8B"/>
    <w:rsid w:val="005C1F58"/>
    <w:rsid w:val="005F41BF"/>
    <w:rsid w:val="005F4569"/>
    <w:rsid w:val="00651BD0"/>
    <w:rsid w:val="006B3BFC"/>
    <w:rsid w:val="00706332"/>
    <w:rsid w:val="00726C6F"/>
    <w:rsid w:val="00735654"/>
    <w:rsid w:val="007376BF"/>
    <w:rsid w:val="00741D0D"/>
    <w:rsid w:val="00745D07"/>
    <w:rsid w:val="007752B1"/>
    <w:rsid w:val="007A162D"/>
    <w:rsid w:val="007D7E42"/>
    <w:rsid w:val="00812188"/>
    <w:rsid w:val="00817D63"/>
    <w:rsid w:val="008503CA"/>
    <w:rsid w:val="008974A4"/>
    <w:rsid w:val="008A791D"/>
    <w:rsid w:val="008B3ADE"/>
    <w:rsid w:val="008D6F43"/>
    <w:rsid w:val="008F4B8B"/>
    <w:rsid w:val="00912136"/>
    <w:rsid w:val="00964E57"/>
    <w:rsid w:val="00972862"/>
    <w:rsid w:val="009847A7"/>
    <w:rsid w:val="009A52E2"/>
    <w:rsid w:val="009D48A6"/>
    <w:rsid w:val="009E5122"/>
    <w:rsid w:val="00A15CB0"/>
    <w:rsid w:val="00A70596"/>
    <w:rsid w:val="00A855D0"/>
    <w:rsid w:val="00AA3417"/>
    <w:rsid w:val="00AB0409"/>
    <w:rsid w:val="00AC5BFF"/>
    <w:rsid w:val="00AD7A2C"/>
    <w:rsid w:val="00B04F27"/>
    <w:rsid w:val="00B05FA6"/>
    <w:rsid w:val="00B11BBF"/>
    <w:rsid w:val="00B26C96"/>
    <w:rsid w:val="00B40EC4"/>
    <w:rsid w:val="00B6651E"/>
    <w:rsid w:val="00B724B8"/>
    <w:rsid w:val="00C24301"/>
    <w:rsid w:val="00C35637"/>
    <w:rsid w:val="00C428BE"/>
    <w:rsid w:val="00C50AA8"/>
    <w:rsid w:val="00C60BA8"/>
    <w:rsid w:val="00C77DED"/>
    <w:rsid w:val="00CA45BE"/>
    <w:rsid w:val="00D542CF"/>
    <w:rsid w:val="00D94077"/>
    <w:rsid w:val="00DE607A"/>
    <w:rsid w:val="00E201CC"/>
    <w:rsid w:val="00ED19EB"/>
    <w:rsid w:val="00ED7BC4"/>
    <w:rsid w:val="00EE258D"/>
    <w:rsid w:val="00EF2C62"/>
    <w:rsid w:val="00F076C9"/>
    <w:rsid w:val="00F15377"/>
    <w:rsid w:val="00F4620E"/>
    <w:rsid w:val="00F855F3"/>
    <w:rsid w:val="00FA5148"/>
    <w:rsid w:val="00FB3A71"/>
    <w:rsid w:val="00FD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9B93C"/>
  <w15:chartTrackingRefBased/>
  <w15:docId w15:val="{1F449512-9237-40C6-B6B8-DCB70626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536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4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4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4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4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4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4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4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4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4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4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4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4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4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4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4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4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42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6421"/>
    <w:pPr>
      <w:tabs>
        <w:tab w:val="center" w:pos="4419"/>
        <w:tab w:val="right" w:pos="8838"/>
      </w:tabs>
      <w:spacing w:line="240" w:lineRule="auto"/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536421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36421"/>
    <w:pPr>
      <w:tabs>
        <w:tab w:val="center" w:pos="4419"/>
        <w:tab w:val="right" w:pos="8838"/>
      </w:tabs>
      <w:spacing w:line="240" w:lineRule="auto"/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6421"/>
    <w:rPr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741D0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1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ocatorias@ipcc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307FE-61AB-4972-B95B-60DC923A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navarro</dc:creator>
  <cp:keywords/>
  <dc:description/>
  <cp:lastModifiedBy>Mabel Vergel</cp:lastModifiedBy>
  <cp:revision>51</cp:revision>
  <dcterms:created xsi:type="dcterms:W3CDTF">2025-03-27T15:36:00Z</dcterms:created>
  <dcterms:modified xsi:type="dcterms:W3CDTF">2026-03-09T15:51:00Z</dcterms:modified>
</cp:coreProperties>
</file>